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Digital timeplan 6B</w:t>
      </w:r>
    </w:p>
    <w:p w:rsidR="00000000" w:rsidDel="00000000" w:rsidP="00000000" w:rsidRDefault="00000000" w:rsidRPr="00000000" w14:paraId="00000002">
      <w:pPr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38"/>
          <w:szCs w:val="38"/>
        </w:rPr>
      </w:pPr>
      <w:hyperlink r:id="rId6">
        <w:r w:rsidDel="00000000" w:rsidR="00000000" w:rsidRPr="00000000">
          <w:rPr>
            <w:b w:val="1"/>
            <w:bCs w:val="1"/>
            <w:color w:val="1155cc"/>
            <w:sz w:val="38"/>
            <w:szCs w:val="38"/>
            <w:u w:val="single"/>
            <w:rtl w:val="0"/>
          </w:rPr>
          <w:t xml:space="preserve">https://sites.google.com/ikrs.no/6b2026-2027/start</w:t>
        </w:r>
      </w:hyperlink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tes.google.com/ikrs.no/6b2026-2027/st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